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B4528" w14:textId="77777777" w:rsidR="00B724EB" w:rsidRPr="00C42CED" w:rsidRDefault="004C63B7" w:rsidP="00B724EB">
      <w:pPr>
        <w:spacing w:before="100" w:beforeAutospacing="1" w:after="100" w:afterAutospacing="1" w:line="240" w:lineRule="auto"/>
        <w:outlineLvl w:val="0"/>
        <w:rPr>
          <w:rFonts w:ascii="HG丸ｺﾞｼｯｸM-PRO" w:eastAsia="HG丸ｺﾞｼｯｸM-PRO" w:hAnsi="HG丸ｺﾞｼｯｸM-PRO" w:cs="ＭＳ Ｐゴシック"/>
          <w:b/>
          <w:bCs/>
          <w:kern w:val="36"/>
          <w:sz w:val="46"/>
          <w:szCs w:val="48"/>
          <w14:ligatures w14:val="none"/>
        </w:rPr>
      </w:pPr>
      <w:r w:rsidRPr="00C42CED">
        <w:rPr>
          <w:rFonts w:ascii="HG丸ｺﾞｼｯｸM-PRO" w:eastAsia="HG丸ｺﾞｼｯｸM-PRO" w:hAnsi="HG丸ｺﾞｼｯｸM-PRO" w:cs="ＭＳ Ｐゴシック"/>
          <w:b/>
          <w:bCs/>
          <w:kern w:val="36"/>
          <w:sz w:val="46"/>
          <w:szCs w:val="48"/>
          <w14:ligatures w14:val="none"/>
        </w:rPr>
        <w:t>医療DX推進体制の整備について</w:t>
      </w:r>
    </w:p>
    <w:p w14:paraId="1AE6DC6A" w14:textId="2BE17752" w:rsidR="004C63B7" w:rsidRPr="00C42CED" w:rsidRDefault="004C63B7" w:rsidP="00B724EB">
      <w:pPr>
        <w:adjustRightInd w:val="0"/>
        <w:snapToGrid w:val="0"/>
        <w:spacing w:before="100" w:beforeAutospacing="1" w:after="100" w:afterAutospacing="1" w:line="240" w:lineRule="auto"/>
        <w:outlineLvl w:val="0"/>
        <w:rPr>
          <w:rFonts w:ascii="HG丸ｺﾞｼｯｸM-PRO" w:eastAsia="HG丸ｺﾞｼｯｸM-PRO" w:hAnsi="HG丸ｺﾞｼｯｸM-PRO" w:cs="ＭＳ Ｐゴシック"/>
          <w:b/>
          <w:bCs/>
          <w:kern w:val="36"/>
          <w:sz w:val="46"/>
          <w:szCs w:val="48"/>
          <w14:ligatures w14:val="none"/>
        </w:rPr>
      </w:pPr>
      <w:r w:rsidRPr="00C42CED">
        <w:rPr>
          <w:rFonts w:ascii="HG丸ｺﾞｼｯｸM-PRO" w:eastAsia="HG丸ｺﾞｼｯｸM-PRO" w:hAnsi="HG丸ｺﾞｼｯｸM-PRO" w:cs="ＭＳ Ｐゴシック"/>
          <w:kern w:val="0"/>
          <w:sz w:val="27"/>
          <w:szCs w:val="28"/>
          <w14:ligatures w14:val="none"/>
        </w:rPr>
        <w:t>当院では、医療DXの推進に向けて、以下の体制を整備しております。</w:t>
      </w:r>
    </w:p>
    <w:p w14:paraId="25A27D6A"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ＭＳ Ｐゴシック"/>
          <w:kern w:val="0"/>
          <w:sz w:val="27"/>
          <w:szCs w:val="28"/>
          <w14:ligatures w14:val="none"/>
        </w:rPr>
      </w:pPr>
      <w:r w:rsidRPr="00C42CED">
        <w:rPr>
          <w:rFonts w:ascii="HG丸ｺﾞｼｯｸM-PRO" w:eastAsia="HG丸ｺﾞｼｯｸM-PRO" w:hAnsi="HG丸ｺﾞｼｯｸM-PRO" w:cs="ＭＳ Ｐゴシック"/>
          <w:kern w:val="0"/>
          <w:sz w:val="27"/>
          <w:szCs w:val="28"/>
          <w14:ligatures w14:val="none"/>
        </w:rPr>
        <w:t>診療報酬明細書（レセプト）のオンライン請求を実施しています。</w:t>
      </w:r>
    </w:p>
    <w:p w14:paraId="65B21A1B"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ＭＳ Ｐゴシック"/>
          <w:kern w:val="0"/>
          <w:sz w:val="27"/>
          <w:szCs w:val="28"/>
          <w14:ligatures w14:val="none"/>
        </w:rPr>
      </w:pPr>
      <w:r w:rsidRPr="00C42CED">
        <w:rPr>
          <w:rFonts w:ascii="HG丸ｺﾞｼｯｸM-PRO" w:eastAsia="HG丸ｺﾞｼｯｸM-PRO" w:hAnsi="HG丸ｺﾞｼｯｸM-PRO" w:cs="ＭＳ Ｐゴシック"/>
          <w:kern w:val="0"/>
          <w:sz w:val="27"/>
          <w:szCs w:val="28"/>
          <w14:ligatures w14:val="none"/>
        </w:rPr>
        <w:t>オンライン資格確認を行う体制を有しています。</w:t>
      </w:r>
    </w:p>
    <w:p w14:paraId="7CA06C66"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ＭＳ Ｐゴシック"/>
          <w:kern w:val="0"/>
          <w:sz w:val="27"/>
          <w:szCs w:val="28"/>
          <w14:ligatures w14:val="none"/>
        </w:rPr>
      </w:pPr>
      <w:r w:rsidRPr="00C42CED">
        <w:rPr>
          <w:rFonts w:ascii="HG丸ｺﾞｼｯｸM-PRO" w:eastAsia="HG丸ｺﾞｼｯｸM-PRO" w:hAnsi="HG丸ｺﾞｼｯｸM-PRO" w:cs="ＭＳ Ｐゴシック"/>
          <w:kern w:val="0"/>
          <w:sz w:val="27"/>
          <w:szCs w:val="28"/>
          <w14:ligatures w14:val="none"/>
        </w:rPr>
        <w:t>オンライン資格確認等システムを通じて取得した診療情報を、診察室において医師等が閲覧・活用できる体制を整えています。</w:t>
      </w:r>
    </w:p>
    <w:p w14:paraId="05798001"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ＭＳ Ｐゴシック"/>
          <w:kern w:val="0"/>
          <w:sz w:val="27"/>
          <w:szCs w:val="28"/>
          <w14:ligatures w14:val="none"/>
        </w:rPr>
      </w:pPr>
      <w:r w:rsidRPr="00C42CED">
        <w:rPr>
          <w:rFonts w:ascii="HG丸ｺﾞｼｯｸM-PRO" w:eastAsia="HG丸ｺﾞｼｯｸM-PRO" w:hAnsi="HG丸ｺﾞｼｯｸM-PRO" w:cs="ＭＳ Ｐゴシック"/>
          <w:kern w:val="0"/>
          <w:sz w:val="27"/>
          <w:szCs w:val="28"/>
          <w14:ligatures w14:val="none"/>
        </w:rPr>
        <w:t>マイナンバーカードの健康保険証利用（マイナ保険証）の促進に取り組んでおり、院内掲示や声かけを行っています。</w:t>
      </w:r>
    </w:p>
    <w:p w14:paraId="213049E2"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ＭＳ Ｐゴシック"/>
          <w:kern w:val="0"/>
          <w:sz w:val="27"/>
          <w:szCs w:val="28"/>
          <w14:ligatures w14:val="none"/>
        </w:rPr>
      </w:pPr>
      <w:r w:rsidRPr="00C42CED">
        <w:rPr>
          <w:rFonts w:ascii="HG丸ｺﾞｼｯｸM-PRO" w:eastAsia="HG丸ｺﾞｼｯｸM-PRO" w:hAnsi="HG丸ｺﾞｼｯｸM-PRO" w:cs="ＭＳ Ｐゴシック"/>
          <w:kern w:val="0"/>
          <w:sz w:val="27"/>
          <w:szCs w:val="28"/>
          <w14:ligatures w14:val="none"/>
        </w:rPr>
        <w:t>医療DX推進の体制に関する事項および、質の高い診療を実施するために必要な情報の取得・活用について、院内の見やすい場所および当院ウェブサイトに掲示しています。</w:t>
      </w:r>
    </w:p>
    <w:p w14:paraId="26671017" w14:textId="77777777" w:rsidR="001D3D73"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ＭＳ Ｐゴシック"/>
          <w:kern w:val="0"/>
          <w:sz w:val="27"/>
          <w:szCs w:val="28"/>
          <w14:ligatures w14:val="none"/>
        </w:rPr>
      </w:pPr>
      <w:r w:rsidRPr="00C42CED">
        <w:rPr>
          <w:rFonts w:ascii="HG丸ｺﾞｼｯｸM-PRO" w:eastAsia="HG丸ｺﾞｼｯｸM-PRO" w:hAnsi="HG丸ｺﾞｼｯｸM-PRO" w:cs="ＭＳ Ｐゴシック"/>
          <w:kern w:val="0"/>
          <w:sz w:val="27"/>
          <w:szCs w:val="28"/>
          <w14:ligatures w14:val="none"/>
        </w:rPr>
        <w:t>マイナポータルの医療情報等を活用し、患者様からの健康管理に関する相談に応じています。</w:t>
      </w:r>
    </w:p>
    <w:p w14:paraId="688C2324" w14:textId="552FD0B8" w:rsidR="00B724EB" w:rsidRPr="00C42CED" w:rsidRDefault="004C63B7" w:rsidP="001D3D73">
      <w:pPr>
        <w:adjustRightInd w:val="0"/>
        <w:snapToGrid w:val="0"/>
        <w:spacing w:before="100" w:beforeAutospacing="1" w:after="100" w:afterAutospacing="1" w:line="240" w:lineRule="auto"/>
        <w:ind w:left="714"/>
        <w:rPr>
          <w:rFonts w:ascii="HG丸ｺﾞｼｯｸM-PRO" w:eastAsia="HG丸ｺﾞｼｯｸM-PRO" w:hAnsi="HG丸ｺﾞｼｯｸM-PRO" w:cs="ＭＳ Ｐゴシック"/>
          <w:kern w:val="0"/>
          <w:sz w:val="27"/>
          <w:szCs w:val="28"/>
          <w14:ligatures w14:val="none"/>
        </w:rPr>
      </w:pPr>
      <w:r w:rsidRPr="00C42CED">
        <w:rPr>
          <w:rFonts w:ascii="HG丸ｺﾞｼｯｸM-PRO" w:eastAsia="HG丸ｺﾞｼｯｸM-PRO" w:hAnsi="HG丸ｺﾞｼｯｸM-PRO" w:cs="ＭＳ Ｐゴシック" w:hint="eastAsia"/>
          <w:kern w:val="0"/>
          <w:sz w:val="27"/>
          <w:szCs w:val="28"/>
          <w14:ligatures w14:val="none"/>
        </w:rPr>
        <w:t xml:space="preserve">　　　</w:t>
      </w:r>
    </w:p>
    <w:p w14:paraId="512B5596" w14:textId="5A14BC64" w:rsidR="004C63B7" w:rsidRPr="00C42CED" w:rsidRDefault="004C63B7" w:rsidP="00C42CED">
      <w:pPr>
        <w:widowControl w:val="0"/>
        <w:adjustRightInd w:val="0"/>
        <w:snapToGrid w:val="0"/>
        <w:spacing w:line="240" w:lineRule="auto"/>
        <w:rPr>
          <w:rFonts w:ascii="HG丸ｺﾞｼｯｸM-PRO" w:eastAsia="HG丸ｺﾞｼｯｸM-PRO" w:hAnsi="HG丸ｺﾞｼｯｸM-PRO"/>
          <w:b/>
          <w:bCs/>
          <w:sz w:val="35"/>
          <w:szCs w:val="36"/>
        </w:rPr>
      </w:pPr>
      <w:r w:rsidRPr="00C42CED">
        <w:rPr>
          <w:rFonts w:ascii="HG丸ｺﾞｼｯｸM-PRO" w:eastAsia="HG丸ｺﾞｼｯｸM-PRO" w:hAnsi="HG丸ｺﾞｼｯｸM-PRO" w:hint="eastAsia"/>
          <w:b/>
          <w:bCs/>
          <w:sz w:val="35"/>
          <w:szCs w:val="36"/>
        </w:rPr>
        <w:t>・</w:t>
      </w:r>
      <w:r w:rsidRPr="00C42CED">
        <w:rPr>
          <w:rFonts w:ascii="HG丸ｺﾞｼｯｸM-PRO" w:eastAsia="HG丸ｺﾞｼｯｸM-PRO" w:hAnsi="HG丸ｺﾞｼｯｸM-PRO"/>
          <w:b/>
          <w:bCs/>
          <w:sz w:val="35"/>
          <w:szCs w:val="36"/>
        </w:rPr>
        <w:t>明細書の発行状況に関する事項</w:t>
      </w:r>
    </w:p>
    <w:p w14:paraId="5CE264DF" w14:textId="428A2F6A" w:rsidR="004C63B7" w:rsidRPr="00C42CED" w:rsidRDefault="004C63B7" w:rsidP="00C42CED">
      <w:pPr>
        <w:widowControl w:val="0"/>
        <w:adjustRightInd w:val="0"/>
        <w:snapToGrid w:val="0"/>
        <w:spacing w:after="0" w:line="240" w:lineRule="auto"/>
        <w:ind w:leftChars="300" w:left="660"/>
        <w:rPr>
          <w:rFonts w:ascii="HG丸ｺﾞｼｯｸM-PRO" w:eastAsia="HG丸ｺﾞｼｯｸM-PRO" w:hAnsi="HG丸ｺﾞｼｯｸM-PRO"/>
          <w:sz w:val="27"/>
          <w:szCs w:val="28"/>
        </w:rPr>
      </w:pPr>
      <w:r w:rsidRPr="00C42CED">
        <w:rPr>
          <w:rFonts w:ascii="HG丸ｺﾞｼｯｸM-PRO" w:eastAsia="HG丸ｺﾞｼｯｸM-PRO" w:hAnsi="HG丸ｺﾞｼｯｸM-PRO"/>
          <w:sz w:val="27"/>
          <w:szCs w:val="28"/>
        </w:rPr>
        <w:t>当院では、医療の透明性向上および患者さまへの情報提供を推進する観点から、 領収証発行の際に診療報酬の算定項目が分かる明細書を無料で発行しております。また、公費負担医療の受給者で自己負担のない方につきましても、 同様に明細書を無料で発行いたします。</w:t>
      </w:r>
    </w:p>
    <w:p w14:paraId="4FBD8037" w14:textId="10D60A0A" w:rsidR="00B724EB" w:rsidRDefault="004C63B7" w:rsidP="00C42CED">
      <w:pPr>
        <w:adjustRightInd w:val="0"/>
        <w:snapToGrid w:val="0"/>
        <w:spacing w:after="0" w:line="240" w:lineRule="auto"/>
        <w:ind w:firstLineChars="250" w:firstLine="675"/>
        <w:rPr>
          <w:rFonts w:ascii="HG丸ｺﾞｼｯｸM-PRO" w:eastAsia="HG丸ｺﾞｼｯｸM-PRO" w:hAnsi="HG丸ｺﾞｼｯｸM-PRO"/>
          <w:sz w:val="27"/>
          <w:szCs w:val="28"/>
        </w:rPr>
      </w:pPr>
      <w:r w:rsidRPr="00C42CED">
        <w:rPr>
          <w:rFonts w:ascii="HG丸ｺﾞｼｯｸM-PRO" w:eastAsia="HG丸ｺﾞｼｯｸM-PRO" w:hAnsi="HG丸ｺﾞｼｯｸM-PRO"/>
          <w:sz w:val="27"/>
          <w:szCs w:val="28"/>
        </w:rPr>
        <w:t>明細書の発行を希望されない場合は、会計窓口にてお申し出ください。</w:t>
      </w:r>
    </w:p>
    <w:p w14:paraId="36BA4E31" w14:textId="3F085324" w:rsidR="00C42CED" w:rsidRDefault="00C42CED" w:rsidP="002E3EF7">
      <w:pPr>
        <w:adjustRightInd w:val="0"/>
        <w:snapToGrid w:val="0"/>
        <w:spacing w:line="240" w:lineRule="auto"/>
        <w:rPr>
          <w:rFonts w:ascii="HG丸ｺﾞｼｯｸM-PRO" w:eastAsia="HG丸ｺﾞｼｯｸM-PRO" w:hAnsi="HG丸ｺﾞｼｯｸM-PRO"/>
          <w:sz w:val="27"/>
          <w:szCs w:val="28"/>
        </w:rPr>
      </w:pPr>
    </w:p>
    <w:p w14:paraId="3D6A6D43" w14:textId="77777777" w:rsidR="002E3EF7" w:rsidRPr="00C42CED" w:rsidRDefault="002E3EF7" w:rsidP="002E3EF7">
      <w:pPr>
        <w:adjustRightInd w:val="0"/>
        <w:snapToGrid w:val="0"/>
        <w:spacing w:line="240" w:lineRule="auto"/>
        <w:rPr>
          <w:rFonts w:ascii="HG丸ｺﾞｼｯｸM-PRO" w:eastAsia="HG丸ｺﾞｼｯｸM-PRO" w:hAnsi="HG丸ｺﾞｼｯｸM-PRO" w:hint="eastAsia"/>
          <w:sz w:val="27"/>
          <w:szCs w:val="32"/>
        </w:rPr>
      </w:pPr>
      <w:bookmarkStart w:id="0" w:name="_GoBack"/>
      <w:bookmarkEnd w:id="0"/>
    </w:p>
    <w:p w14:paraId="429BD4AB" w14:textId="0F668B41" w:rsidR="001D3D73" w:rsidRDefault="0096390D" w:rsidP="0096390D">
      <w:pPr>
        <w:widowControl w:val="0"/>
        <w:adjustRightInd w:val="0"/>
        <w:snapToGrid w:val="0"/>
        <w:spacing w:after="0" w:line="240" w:lineRule="auto"/>
        <w:rPr>
          <w:rFonts w:ascii="HG丸ｺﾞｼｯｸM-PRO" w:eastAsia="HG丸ｺﾞｼｯｸM-PRO" w:hAnsi="HG丸ｺﾞｼｯｸM-PRO"/>
          <w:b/>
          <w:bCs/>
          <w:sz w:val="35"/>
          <w:szCs w:val="36"/>
        </w:rPr>
      </w:pPr>
      <w:r>
        <w:rPr>
          <w:rFonts w:ascii="HG丸ｺﾞｼｯｸM-PRO" w:eastAsia="HG丸ｺﾞｼｯｸM-PRO" w:hAnsi="HG丸ｺﾞｼｯｸM-PRO" w:hint="eastAsia"/>
          <w:b/>
          <w:bCs/>
          <w:sz w:val="35"/>
          <w:szCs w:val="36"/>
        </w:rPr>
        <w:t>・特定疾患療養管理料</w:t>
      </w:r>
    </w:p>
    <w:p w14:paraId="6BF8FDE0" w14:textId="10F941B0" w:rsidR="0096390D" w:rsidRDefault="0096390D" w:rsidP="0096390D">
      <w:pPr>
        <w:adjustRightInd w:val="0"/>
        <w:snapToGrid w:val="0"/>
        <w:spacing w:line="240" w:lineRule="auto"/>
        <w:ind w:leftChars="300" w:left="660"/>
        <w:rPr>
          <w:rFonts w:ascii="HG丸ｺﾞｼｯｸM-PRO" w:eastAsia="HG丸ｺﾞｼｯｸM-PRO" w:hAnsi="HG丸ｺﾞｼｯｸM-PRO"/>
          <w:b/>
          <w:bCs/>
          <w:sz w:val="35"/>
          <w:szCs w:val="36"/>
        </w:rPr>
      </w:pPr>
      <w:r w:rsidRPr="0096390D">
        <w:rPr>
          <w:rFonts w:ascii="HG丸ｺﾞｼｯｸM-PRO" w:eastAsia="HG丸ｺﾞｼｯｸM-PRO" w:hAnsi="HG丸ｺﾞｼｯｸM-PRO" w:hint="eastAsia"/>
          <w:sz w:val="27"/>
          <w:szCs w:val="32"/>
        </w:rPr>
        <w:t>当院では、患者様の状態に応じ、２８日以上の長期投与を行っています。</w:t>
      </w:r>
    </w:p>
    <w:p w14:paraId="7B184DF1" w14:textId="77777777" w:rsidR="001D3D73" w:rsidRDefault="001D3D73" w:rsidP="00C42CED">
      <w:pPr>
        <w:widowControl w:val="0"/>
        <w:adjustRightInd w:val="0"/>
        <w:snapToGrid w:val="0"/>
        <w:spacing w:after="0" w:line="240" w:lineRule="auto"/>
        <w:ind w:leftChars="300" w:left="660"/>
        <w:rPr>
          <w:rFonts w:ascii="HG丸ｺﾞｼｯｸM-PRO" w:eastAsia="HG丸ｺﾞｼｯｸM-PRO" w:hAnsi="HG丸ｺﾞｼｯｸM-PRO"/>
          <w:b/>
          <w:bCs/>
          <w:sz w:val="35"/>
          <w:szCs w:val="36"/>
        </w:rPr>
      </w:pPr>
    </w:p>
    <w:p w14:paraId="742CE723" w14:textId="77777777" w:rsidR="001D3D73" w:rsidRDefault="001D3D73" w:rsidP="00C42CED">
      <w:pPr>
        <w:widowControl w:val="0"/>
        <w:adjustRightInd w:val="0"/>
        <w:snapToGrid w:val="0"/>
        <w:spacing w:after="0" w:line="240" w:lineRule="auto"/>
        <w:ind w:leftChars="300" w:left="660"/>
        <w:rPr>
          <w:rFonts w:ascii="HG丸ｺﾞｼｯｸM-PRO" w:eastAsia="HG丸ｺﾞｼｯｸM-PRO" w:hAnsi="HG丸ｺﾞｼｯｸM-PRO"/>
          <w:b/>
          <w:bCs/>
          <w:sz w:val="35"/>
          <w:szCs w:val="36"/>
        </w:rPr>
      </w:pPr>
    </w:p>
    <w:p w14:paraId="4DA1D9DD" w14:textId="77777777" w:rsidR="001D3D73" w:rsidRDefault="001D3D73" w:rsidP="00C42CED">
      <w:pPr>
        <w:widowControl w:val="0"/>
        <w:adjustRightInd w:val="0"/>
        <w:snapToGrid w:val="0"/>
        <w:spacing w:after="0" w:line="240" w:lineRule="auto"/>
        <w:ind w:leftChars="300" w:left="660"/>
        <w:rPr>
          <w:rFonts w:ascii="HG丸ｺﾞｼｯｸM-PRO" w:eastAsia="HG丸ｺﾞｼｯｸM-PRO" w:hAnsi="HG丸ｺﾞｼｯｸM-PRO"/>
          <w:b/>
          <w:bCs/>
          <w:sz w:val="35"/>
          <w:szCs w:val="36"/>
        </w:rPr>
      </w:pPr>
    </w:p>
    <w:p w14:paraId="4050C95A" w14:textId="6E73055E" w:rsidR="00C42CED" w:rsidRDefault="00C42CED" w:rsidP="00C42CED">
      <w:pPr>
        <w:widowControl w:val="0"/>
        <w:adjustRightInd w:val="0"/>
        <w:snapToGrid w:val="0"/>
        <w:spacing w:after="0" w:line="240" w:lineRule="auto"/>
        <w:ind w:leftChars="300" w:left="660"/>
        <w:rPr>
          <w:rFonts w:ascii="HG丸ｺﾞｼｯｸM-PRO" w:eastAsia="HG丸ｺﾞｼｯｸM-PRO" w:hAnsi="HG丸ｺﾞｼｯｸM-PRO"/>
          <w:sz w:val="27"/>
          <w:szCs w:val="28"/>
        </w:rPr>
      </w:pPr>
      <w:r>
        <w:rPr>
          <w:rFonts w:ascii="HG丸ｺﾞｼｯｸM-PRO" w:eastAsia="HG丸ｺﾞｼｯｸM-PRO" w:hAnsi="HG丸ｺﾞｼｯｸM-PRO" w:hint="eastAsia"/>
          <w:sz w:val="27"/>
          <w:szCs w:val="28"/>
        </w:rPr>
        <w:t xml:space="preserve">　　　　　　　　　　　　　　　　　　　　　　　　　</w:t>
      </w:r>
    </w:p>
    <w:p w14:paraId="644951A5" w14:textId="7C2B611C" w:rsidR="00C42CED" w:rsidRPr="00C42CED" w:rsidRDefault="00F43195" w:rsidP="00C42CED">
      <w:pPr>
        <w:widowControl w:val="0"/>
        <w:adjustRightInd w:val="0"/>
        <w:snapToGrid w:val="0"/>
        <w:spacing w:after="0" w:line="240" w:lineRule="auto"/>
        <w:ind w:leftChars="300" w:left="660"/>
        <w:rPr>
          <w:rFonts w:ascii="HG丸ｺﾞｼｯｸM-PRO" w:eastAsia="HG丸ｺﾞｼｯｸM-PRO" w:hAnsi="HG丸ｺﾞｼｯｸM-PRO"/>
          <w:sz w:val="27"/>
          <w:szCs w:val="28"/>
        </w:rPr>
      </w:pPr>
      <w:r>
        <w:rPr>
          <w:rFonts w:ascii="HG丸ｺﾞｼｯｸM-PRO" w:eastAsia="HG丸ｺﾞｼｯｸM-PRO" w:hAnsi="HG丸ｺﾞｼｯｸM-PRO" w:hint="eastAsia"/>
          <w:sz w:val="27"/>
          <w:szCs w:val="28"/>
        </w:rPr>
        <w:t xml:space="preserve">　　　　　　　　　　　　　　　　　　　むらせクリニック</w:t>
      </w:r>
      <w:r w:rsidR="00C42CED">
        <w:rPr>
          <w:rFonts w:ascii="HG丸ｺﾞｼｯｸM-PRO" w:eastAsia="HG丸ｺﾞｼｯｸM-PRO" w:hAnsi="HG丸ｺﾞｼｯｸM-PRO" w:hint="eastAsia"/>
          <w:sz w:val="27"/>
          <w:szCs w:val="28"/>
        </w:rPr>
        <w:t xml:space="preserve">　　院　長</w:t>
      </w:r>
    </w:p>
    <w:sectPr w:rsidR="00C42CED" w:rsidRPr="00C42CED" w:rsidSect="00C42CED">
      <w:pgSz w:w="11906" w:h="16838" w:code="9"/>
      <w:pgMar w:top="1440"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EDEA3" w14:textId="77777777" w:rsidR="00B45E0F" w:rsidRDefault="00B45E0F" w:rsidP="00E85439">
      <w:pPr>
        <w:spacing w:after="0" w:line="240" w:lineRule="auto"/>
      </w:pPr>
      <w:r>
        <w:separator/>
      </w:r>
    </w:p>
  </w:endnote>
  <w:endnote w:type="continuationSeparator" w:id="0">
    <w:p w14:paraId="1AB62F45" w14:textId="77777777" w:rsidR="00B45E0F" w:rsidRDefault="00B45E0F" w:rsidP="00E8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11C29" w14:textId="77777777" w:rsidR="00B45E0F" w:rsidRDefault="00B45E0F" w:rsidP="00E85439">
      <w:pPr>
        <w:spacing w:after="0" w:line="240" w:lineRule="auto"/>
      </w:pPr>
      <w:r>
        <w:separator/>
      </w:r>
    </w:p>
  </w:footnote>
  <w:footnote w:type="continuationSeparator" w:id="0">
    <w:p w14:paraId="1968E1A7" w14:textId="77777777" w:rsidR="00B45E0F" w:rsidRDefault="00B45E0F" w:rsidP="00E85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C01A4"/>
    <w:multiLevelType w:val="multilevel"/>
    <w:tmpl w:val="649A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B7"/>
    <w:rsid w:val="00103F1F"/>
    <w:rsid w:val="001D3D73"/>
    <w:rsid w:val="002608E3"/>
    <w:rsid w:val="002E3EF7"/>
    <w:rsid w:val="003E0BDA"/>
    <w:rsid w:val="004C63B7"/>
    <w:rsid w:val="004E3A6A"/>
    <w:rsid w:val="00577AA1"/>
    <w:rsid w:val="0096390D"/>
    <w:rsid w:val="00A610C2"/>
    <w:rsid w:val="00B45E0F"/>
    <w:rsid w:val="00B724EB"/>
    <w:rsid w:val="00C42CED"/>
    <w:rsid w:val="00C7650B"/>
    <w:rsid w:val="00D828A3"/>
    <w:rsid w:val="00E85439"/>
    <w:rsid w:val="00F4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B0EB1"/>
  <w15:chartTrackingRefBased/>
  <w15:docId w15:val="{6050A59D-EE49-45C9-AAB1-5356F7F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63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63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63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63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63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63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3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3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3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3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3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3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63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3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3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3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3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3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6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6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3B7"/>
    <w:pPr>
      <w:spacing w:before="160"/>
      <w:jc w:val="center"/>
    </w:pPr>
    <w:rPr>
      <w:i/>
      <w:iCs/>
      <w:color w:val="404040" w:themeColor="text1" w:themeTint="BF"/>
    </w:rPr>
  </w:style>
  <w:style w:type="character" w:customStyle="1" w:styleId="a8">
    <w:name w:val="引用文 (文字)"/>
    <w:basedOn w:val="a0"/>
    <w:link w:val="a7"/>
    <w:uiPriority w:val="29"/>
    <w:rsid w:val="004C63B7"/>
    <w:rPr>
      <w:i/>
      <w:iCs/>
      <w:color w:val="404040" w:themeColor="text1" w:themeTint="BF"/>
    </w:rPr>
  </w:style>
  <w:style w:type="paragraph" w:styleId="a9">
    <w:name w:val="List Paragraph"/>
    <w:basedOn w:val="a"/>
    <w:uiPriority w:val="34"/>
    <w:qFormat/>
    <w:rsid w:val="004C63B7"/>
    <w:pPr>
      <w:ind w:left="720"/>
      <w:contextualSpacing/>
    </w:pPr>
  </w:style>
  <w:style w:type="character" w:styleId="21">
    <w:name w:val="Intense Emphasis"/>
    <w:basedOn w:val="a0"/>
    <w:uiPriority w:val="21"/>
    <w:qFormat/>
    <w:rsid w:val="004C63B7"/>
    <w:rPr>
      <w:i/>
      <w:iCs/>
      <w:color w:val="0F4761" w:themeColor="accent1" w:themeShade="BF"/>
    </w:rPr>
  </w:style>
  <w:style w:type="paragraph" w:styleId="22">
    <w:name w:val="Intense Quote"/>
    <w:basedOn w:val="a"/>
    <w:next w:val="a"/>
    <w:link w:val="23"/>
    <w:uiPriority w:val="30"/>
    <w:qFormat/>
    <w:rsid w:val="004C6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63B7"/>
    <w:rPr>
      <w:i/>
      <w:iCs/>
      <w:color w:val="0F4761" w:themeColor="accent1" w:themeShade="BF"/>
    </w:rPr>
  </w:style>
  <w:style w:type="character" w:styleId="24">
    <w:name w:val="Intense Reference"/>
    <w:basedOn w:val="a0"/>
    <w:uiPriority w:val="32"/>
    <w:qFormat/>
    <w:rsid w:val="004C63B7"/>
    <w:rPr>
      <w:b/>
      <w:bCs/>
      <w:smallCaps/>
      <w:color w:val="0F4761" w:themeColor="accent1" w:themeShade="BF"/>
      <w:spacing w:val="5"/>
    </w:rPr>
  </w:style>
  <w:style w:type="paragraph" w:styleId="aa">
    <w:name w:val="header"/>
    <w:basedOn w:val="a"/>
    <w:link w:val="ab"/>
    <w:uiPriority w:val="99"/>
    <w:unhideWhenUsed/>
    <w:rsid w:val="00E85439"/>
    <w:pPr>
      <w:tabs>
        <w:tab w:val="center" w:pos="4252"/>
        <w:tab w:val="right" w:pos="8504"/>
      </w:tabs>
      <w:snapToGrid w:val="0"/>
    </w:pPr>
  </w:style>
  <w:style w:type="character" w:customStyle="1" w:styleId="ab">
    <w:name w:val="ヘッダー (文字)"/>
    <w:basedOn w:val="a0"/>
    <w:link w:val="aa"/>
    <w:uiPriority w:val="99"/>
    <w:rsid w:val="00E85439"/>
  </w:style>
  <w:style w:type="paragraph" w:styleId="ac">
    <w:name w:val="footer"/>
    <w:basedOn w:val="a"/>
    <w:link w:val="ad"/>
    <w:uiPriority w:val="99"/>
    <w:unhideWhenUsed/>
    <w:rsid w:val="00E85439"/>
    <w:pPr>
      <w:tabs>
        <w:tab w:val="center" w:pos="4252"/>
        <w:tab w:val="right" w:pos="8504"/>
      </w:tabs>
      <w:snapToGrid w:val="0"/>
    </w:pPr>
  </w:style>
  <w:style w:type="character" w:customStyle="1" w:styleId="ad">
    <w:name w:val="フッター (文字)"/>
    <w:basedOn w:val="a0"/>
    <w:link w:val="ac"/>
    <w:uiPriority w:val="99"/>
    <w:rsid w:val="00E8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3gouki</dc:creator>
  <cp:keywords/>
  <dc:description/>
  <cp:lastModifiedBy>A001</cp:lastModifiedBy>
  <cp:revision>5</cp:revision>
  <cp:lastPrinted>2026-05-18T02:06:00Z</cp:lastPrinted>
  <dcterms:created xsi:type="dcterms:W3CDTF">2026-05-29T03:33:00Z</dcterms:created>
  <dcterms:modified xsi:type="dcterms:W3CDTF">2026-05-29T04:16:00Z</dcterms:modified>
</cp:coreProperties>
</file>